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76" w:rsidRPr="001840C3" w:rsidRDefault="00224205" w:rsidP="00BC47A0">
      <w:pPr>
        <w:jc w:val="both"/>
        <w:rPr>
          <w:rStyle w:val="hps"/>
          <w:rFonts w:cs="Calibri"/>
          <w:lang/>
        </w:rPr>
      </w:pPr>
      <w:r w:rsidRPr="00224205">
        <w:rPr>
          <w:lang w:val="en-US"/>
        </w:rPr>
        <w:t xml:space="preserve">The Emilia Romagna Region, in relation to the </w:t>
      </w:r>
      <w:r>
        <w:rPr>
          <w:lang w:val="en-US"/>
        </w:rPr>
        <w:t xml:space="preserve">full </w:t>
      </w:r>
      <w:r w:rsidRPr="00224205">
        <w:rPr>
          <w:lang w:val="en-US"/>
        </w:rPr>
        <w:t xml:space="preserve">implementation </w:t>
      </w:r>
      <w:r>
        <w:rPr>
          <w:lang w:val="en-US"/>
        </w:rPr>
        <w:t>of</w:t>
      </w:r>
      <w:r w:rsidRPr="00224205">
        <w:rPr>
          <w:lang w:val="en-US"/>
        </w:rPr>
        <w:t xml:space="preserve"> </w:t>
      </w:r>
      <w:r>
        <w:rPr>
          <w:lang w:val="en-US"/>
        </w:rPr>
        <w:t xml:space="preserve">Directive 2008/50/EC, </w:t>
      </w:r>
      <w:r w:rsidR="00BD240B">
        <w:rPr>
          <w:lang w:val="en-US"/>
        </w:rPr>
        <w:t xml:space="preserve">as a result of </w:t>
      </w:r>
      <w:r>
        <w:rPr>
          <w:lang w:val="en-US"/>
        </w:rPr>
        <w:t xml:space="preserve">the revision and reorganization of the </w:t>
      </w:r>
      <w:r w:rsidR="00BC47A0">
        <w:rPr>
          <w:lang w:val="en-US"/>
        </w:rPr>
        <w:t>measurement systems</w:t>
      </w:r>
      <w:r>
        <w:rPr>
          <w:lang w:val="en-US"/>
        </w:rPr>
        <w:t xml:space="preserve"> for the air quality management, redefined the </w:t>
      </w:r>
      <w:r w:rsidR="00BC47A0">
        <w:rPr>
          <w:lang w:val="en-US"/>
        </w:rPr>
        <w:t xml:space="preserve">establishment of regional territorial zones </w:t>
      </w:r>
      <w:r w:rsidR="00BD240B" w:rsidRPr="001840C3">
        <w:rPr>
          <w:rStyle w:val="hps"/>
          <w:rFonts w:cs="Calibri"/>
          <w:lang/>
        </w:rPr>
        <w:t>through the</w:t>
      </w:r>
      <w:r w:rsidR="001840C3">
        <w:rPr>
          <w:rStyle w:val="hps"/>
          <w:rFonts w:cs="Calibri"/>
          <w:lang/>
        </w:rPr>
        <w:t xml:space="preserve"> regional decrete DGR 2001/2011. The zones changed from</w:t>
      </w:r>
      <w:r w:rsidR="00052681">
        <w:rPr>
          <w:rStyle w:val="hps"/>
          <w:rFonts w:cs="Calibri"/>
          <w:lang/>
        </w:rPr>
        <w:t xml:space="preserve"> 1 J</w:t>
      </w:r>
      <w:r w:rsidR="00BD240B" w:rsidRPr="001840C3">
        <w:rPr>
          <w:rStyle w:val="hps"/>
          <w:rFonts w:cs="Calibri"/>
          <w:lang/>
        </w:rPr>
        <w:t xml:space="preserve">anuary 2012. This new zoning divided the regional territory into 4 large zones (see </w:t>
      </w:r>
      <w:fldSimple w:instr=" REF _Ref360637236 \h  \* MERGEFORMAT ">
        <w:r w:rsidR="00BD240B" w:rsidRPr="001840C3">
          <w:rPr>
            <w:lang w:val="en-US"/>
          </w:rPr>
          <w:t xml:space="preserve">Figure </w:t>
        </w:r>
        <w:r w:rsidR="00BD240B" w:rsidRPr="001840C3">
          <w:rPr>
            <w:noProof/>
            <w:lang w:val="en-US"/>
          </w:rPr>
          <w:t>1</w:t>
        </w:r>
      </w:fldSimple>
      <w:r w:rsidR="00BD240B" w:rsidRPr="001840C3">
        <w:rPr>
          <w:rStyle w:val="hps"/>
          <w:rFonts w:cs="Calibri"/>
          <w:lang/>
        </w:rPr>
        <w:t>).</w:t>
      </w:r>
    </w:p>
    <w:p w:rsidR="00BD240B" w:rsidRDefault="00687DAA" w:rsidP="00BC47A0">
      <w:pPr>
        <w:jc w:val="both"/>
        <w:rPr>
          <w:lang w:val="en-US"/>
        </w:rPr>
      </w:pPr>
      <w:r>
        <w:rPr>
          <w:noProof/>
          <w:lang w:eastAsia="it-IT"/>
        </w:rPr>
        <w:drawing>
          <wp:inline distT="0" distB="0" distL="0" distR="0">
            <wp:extent cx="6116320" cy="3373120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37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40B" w:rsidRPr="00DF1A1F" w:rsidRDefault="00BD240B" w:rsidP="00BD240B">
      <w:pPr>
        <w:pStyle w:val="Didascalia"/>
        <w:rPr>
          <w:lang w:val="en-US"/>
        </w:rPr>
      </w:pPr>
      <w:bookmarkStart w:id="0" w:name="_Ref360637236"/>
      <w:r w:rsidRPr="00DF1A1F">
        <w:rPr>
          <w:lang w:val="en-US"/>
        </w:rPr>
        <w:t xml:space="preserve">Figure </w:t>
      </w:r>
      <w:r>
        <w:fldChar w:fldCharType="begin"/>
      </w:r>
      <w:r w:rsidRPr="00DF1A1F">
        <w:rPr>
          <w:lang w:val="en-US"/>
        </w:rPr>
        <w:instrText xml:space="preserve"> SEQ Figure \* ARABIC </w:instrText>
      </w:r>
      <w:r>
        <w:fldChar w:fldCharType="separate"/>
      </w:r>
      <w:r w:rsidR="00D231FF">
        <w:rPr>
          <w:noProof/>
          <w:lang w:val="en-US"/>
        </w:rPr>
        <w:t>1</w:t>
      </w:r>
      <w:r>
        <w:fldChar w:fldCharType="end"/>
      </w:r>
      <w:bookmarkEnd w:id="0"/>
      <w:r w:rsidRPr="00DF1A1F">
        <w:rPr>
          <w:lang w:val="en-US"/>
        </w:rPr>
        <w:t xml:space="preserve">: </w:t>
      </w:r>
      <w:r w:rsidR="00DF1A1F" w:rsidRPr="00DF1A1F">
        <w:rPr>
          <w:lang w:val="en-US"/>
        </w:rPr>
        <w:t>New zoning of Emilia Romagna territory</w:t>
      </w:r>
    </w:p>
    <w:p w:rsidR="00DF1A1F" w:rsidRDefault="00A10EAF" w:rsidP="00A10EAF">
      <w:pPr>
        <w:jc w:val="both"/>
        <w:rPr>
          <w:lang w:val="en-US"/>
        </w:rPr>
      </w:pPr>
      <w:r>
        <w:rPr>
          <w:lang w:val="en-US"/>
        </w:rPr>
        <w:t xml:space="preserve">On September 2 2011 the Emilia Romagna Region submitted the request to delay the 2010 deadline for meeting NO2 air quality targets, as application of </w:t>
      </w:r>
      <w:r w:rsidR="001840C3">
        <w:rPr>
          <w:lang w:val="en-US"/>
        </w:rPr>
        <w:t xml:space="preserve">Directive 2008/50/EC </w:t>
      </w:r>
      <w:r>
        <w:rPr>
          <w:lang w:val="en-US"/>
        </w:rPr>
        <w:t>art. 22</w:t>
      </w:r>
      <w:r w:rsidR="001840C3">
        <w:rPr>
          <w:lang w:val="en-US"/>
        </w:rPr>
        <w:t xml:space="preserve">, basing its request on the previous territorial zoning. The European Commission, granted extension for 6 old zones with exceedance </w:t>
      </w:r>
      <w:r w:rsidR="006507FE" w:rsidRPr="006507FE">
        <w:rPr>
          <w:lang w:val="en-US"/>
        </w:rPr>
        <w:t>(5-7, 10, 12, 13 – IT0802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R1 Piacenza, IT0812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R2 Parma, IT0822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R3 Reggio Emilia, IT0833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R5 Fiorano Modenese, IT0852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R8 Ferrara, IT0882 Agglomerat</w:t>
      </w:r>
      <w:r w:rsidR="006507FE">
        <w:rPr>
          <w:lang w:val="en-US"/>
        </w:rPr>
        <w:t>i</w:t>
      </w:r>
      <w:r w:rsidR="006507FE" w:rsidRPr="006507FE">
        <w:rPr>
          <w:lang w:val="en-US"/>
        </w:rPr>
        <w:t>o</w:t>
      </w:r>
      <w:r w:rsidR="006507FE">
        <w:rPr>
          <w:lang w:val="en-US"/>
        </w:rPr>
        <w:t>n</w:t>
      </w:r>
      <w:r w:rsidR="006507FE" w:rsidRPr="006507FE">
        <w:rPr>
          <w:lang w:val="en-US"/>
        </w:rPr>
        <w:t xml:space="preserve"> R13 Rimini - 1 sta</w:t>
      </w:r>
      <w:r w:rsidR="006507FE">
        <w:rPr>
          <w:lang w:val="en-US"/>
        </w:rPr>
        <w:t>tion each zone</w:t>
      </w:r>
      <w:r w:rsidR="006507FE" w:rsidRPr="006507FE">
        <w:rPr>
          <w:lang w:val="en-US"/>
        </w:rPr>
        <w:t>)</w:t>
      </w:r>
      <w:r w:rsidR="00081DA5">
        <w:rPr>
          <w:lang w:val="en-US"/>
        </w:rPr>
        <w:t xml:space="preserve"> and didn’t consider necessary the request for zone IT0823 </w:t>
      </w:r>
      <w:r w:rsidR="00081DA5" w:rsidRPr="006507FE">
        <w:rPr>
          <w:lang w:val="en-US"/>
        </w:rPr>
        <w:t>Agglomerat</w:t>
      </w:r>
      <w:r w:rsidR="00081DA5">
        <w:rPr>
          <w:lang w:val="en-US"/>
        </w:rPr>
        <w:t>i</w:t>
      </w:r>
      <w:r w:rsidR="00081DA5" w:rsidRPr="006507FE">
        <w:rPr>
          <w:lang w:val="en-US"/>
        </w:rPr>
        <w:t>o</w:t>
      </w:r>
      <w:r w:rsidR="00081DA5">
        <w:rPr>
          <w:lang w:val="en-US"/>
        </w:rPr>
        <w:t>n R12 Casalgrande (</w:t>
      </w:r>
      <w:r w:rsidR="00D231FF">
        <w:rPr>
          <w:lang w:val="en-US"/>
        </w:rPr>
        <w:t>European Commission Decision 6 J</w:t>
      </w:r>
      <w:r w:rsidR="00081DA5">
        <w:rPr>
          <w:lang w:val="en-US"/>
        </w:rPr>
        <w:t>uly 2012), while refused 2 zones (</w:t>
      </w:r>
      <w:r w:rsidR="00081DA5" w:rsidRPr="00081DA5">
        <w:rPr>
          <w:lang w:val="en-US"/>
        </w:rPr>
        <w:t xml:space="preserve">(IT0832 </w:t>
      </w:r>
      <w:r w:rsidR="00081DA5" w:rsidRPr="006507FE">
        <w:rPr>
          <w:lang w:val="en-US"/>
        </w:rPr>
        <w:t>Agglomerat</w:t>
      </w:r>
      <w:r w:rsidR="00081DA5">
        <w:rPr>
          <w:lang w:val="en-US"/>
        </w:rPr>
        <w:t>i</w:t>
      </w:r>
      <w:r w:rsidR="00081DA5" w:rsidRPr="006507FE">
        <w:rPr>
          <w:lang w:val="en-US"/>
        </w:rPr>
        <w:t>o</w:t>
      </w:r>
      <w:r w:rsidR="00081DA5">
        <w:rPr>
          <w:lang w:val="en-US"/>
        </w:rPr>
        <w:t xml:space="preserve">n </w:t>
      </w:r>
      <w:r w:rsidR="00081DA5" w:rsidRPr="00081DA5">
        <w:rPr>
          <w:lang w:val="en-US"/>
        </w:rPr>
        <w:t xml:space="preserve">R4 Modena, IT0842 </w:t>
      </w:r>
      <w:r w:rsidR="00081DA5" w:rsidRPr="006507FE">
        <w:rPr>
          <w:lang w:val="en-US"/>
        </w:rPr>
        <w:t>Agglomerat</w:t>
      </w:r>
      <w:r w:rsidR="00081DA5">
        <w:rPr>
          <w:lang w:val="en-US"/>
        </w:rPr>
        <w:t>i</w:t>
      </w:r>
      <w:r w:rsidR="00081DA5" w:rsidRPr="006507FE">
        <w:rPr>
          <w:lang w:val="en-US"/>
        </w:rPr>
        <w:t>o</w:t>
      </w:r>
      <w:r w:rsidR="00081DA5">
        <w:rPr>
          <w:lang w:val="en-US"/>
        </w:rPr>
        <w:t xml:space="preserve">n </w:t>
      </w:r>
      <w:r w:rsidR="00081DA5" w:rsidRPr="00081DA5">
        <w:rPr>
          <w:lang w:val="en-US"/>
        </w:rPr>
        <w:t>R6 Bologna)</w:t>
      </w:r>
      <w:r w:rsidR="00081DA5">
        <w:rPr>
          <w:lang w:val="en-US"/>
        </w:rPr>
        <w:t>. Therefore the extension to the compliance</w:t>
      </w:r>
      <w:r w:rsidR="002D057E">
        <w:rPr>
          <w:lang w:val="en-US"/>
        </w:rPr>
        <w:t xml:space="preserve"> with air quality limit value was applied to subzones of the actual 4 zones (see </w:t>
      </w:r>
      <w:r w:rsidR="0024147C">
        <w:rPr>
          <w:lang w:val="en-US"/>
        </w:rPr>
        <w:fldChar w:fldCharType="begin"/>
      </w:r>
      <w:r w:rsidR="0024147C">
        <w:rPr>
          <w:lang w:val="en-US"/>
        </w:rPr>
        <w:instrText xml:space="preserve"> REF _Ref360639433 \h </w:instrText>
      </w:r>
      <w:r w:rsidR="0024147C">
        <w:rPr>
          <w:lang w:val="en-US"/>
        </w:rPr>
      </w:r>
      <w:r w:rsidR="0024147C">
        <w:rPr>
          <w:lang w:val="en-US"/>
        </w:rPr>
        <w:fldChar w:fldCharType="separate"/>
      </w:r>
      <w:r w:rsidR="0024147C" w:rsidRPr="0024147C">
        <w:rPr>
          <w:lang w:val="en-US"/>
        </w:rPr>
        <w:t xml:space="preserve">Figure </w:t>
      </w:r>
      <w:r w:rsidR="0024147C" w:rsidRPr="0024147C">
        <w:rPr>
          <w:noProof/>
          <w:lang w:val="en-US"/>
        </w:rPr>
        <w:t>2</w:t>
      </w:r>
      <w:r w:rsidR="0024147C">
        <w:rPr>
          <w:lang w:val="en-US"/>
        </w:rPr>
        <w:fldChar w:fldCharType="end"/>
      </w:r>
      <w:r w:rsidR="0024147C">
        <w:rPr>
          <w:lang w:val="en-US"/>
        </w:rPr>
        <w:t>).</w:t>
      </w:r>
    </w:p>
    <w:p w:rsidR="002D057E" w:rsidRDefault="00687DAA" w:rsidP="00A10EAF">
      <w:pPr>
        <w:jc w:val="both"/>
      </w:pPr>
      <w:r>
        <w:rPr>
          <w:noProof/>
          <w:lang w:eastAsia="it-IT"/>
        </w:rPr>
        <w:lastRenderedPageBreak/>
        <w:drawing>
          <wp:inline distT="0" distB="0" distL="0" distR="0">
            <wp:extent cx="6116320" cy="4321810"/>
            <wp:effectExtent l="19050" t="19050" r="17780" b="21590"/>
            <wp:docPr id="2" name="Immagine 2" descr="zone deroga NO2 nuova zoni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one deroga NO2 nuova zoniz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432181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D057E" w:rsidRDefault="00D231FF" w:rsidP="00D231FF">
      <w:pPr>
        <w:pStyle w:val="Didascalia"/>
        <w:rPr>
          <w:lang w:val="en-US"/>
        </w:rPr>
      </w:pPr>
      <w:bookmarkStart w:id="1" w:name="_Ref360639433"/>
      <w:r w:rsidRPr="0024147C">
        <w:rPr>
          <w:lang w:val="en-US"/>
        </w:rPr>
        <w:t xml:space="preserve">Figure </w:t>
      </w:r>
      <w:r>
        <w:fldChar w:fldCharType="begin"/>
      </w:r>
      <w:r w:rsidRPr="0024147C">
        <w:rPr>
          <w:lang w:val="en-US"/>
        </w:rPr>
        <w:instrText xml:space="preserve"> SEQ Figure \* ARABIC </w:instrText>
      </w:r>
      <w:r>
        <w:fldChar w:fldCharType="separate"/>
      </w:r>
      <w:r w:rsidRPr="0024147C">
        <w:rPr>
          <w:noProof/>
          <w:lang w:val="en-US"/>
        </w:rPr>
        <w:t>2</w:t>
      </w:r>
      <w:r>
        <w:fldChar w:fldCharType="end"/>
      </w:r>
      <w:bookmarkEnd w:id="1"/>
      <w:r w:rsidRPr="0024147C">
        <w:rPr>
          <w:lang w:val="en-US"/>
        </w:rPr>
        <w:t xml:space="preserve">: New zoning, </w:t>
      </w:r>
      <w:r w:rsidR="0024147C" w:rsidRPr="0024147C">
        <w:rPr>
          <w:lang w:val="en-US"/>
        </w:rPr>
        <w:t xml:space="preserve">zone with </w:t>
      </w:r>
      <w:r w:rsidR="0024147C">
        <w:rPr>
          <w:lang w:val="en-US"/>
        </w:rPr>
        <w:t xml:space="preserve">NO2 </w:t>
      </w:r>
      <w:r w:rsidR="0024147C" w:rsidRPr="0024147C">
        <w:rPr>
          <w:lang w:val="en-US"/>
        </w:rPr>
        <w:t>extension granted</w:t>
      </w:r>
      <w:r w:rsidR="0024147C">
        <w:rPr>
          <w:lang w:val="en-US"/>
        </w:rPr>
        <w:t xml:space="preserve"> (in light blue), zone with NO2 extension refused (in dark gray)</w:t>
      </w:r>
      <w:r w:rsidR="00693014">
        <w:rPr>
          <w:lang w:val="en-US"/>
        </w:rPr>
        <w:t>.</w:t>
      </w:r>
    </w:p>
    <w:p w:rsidR="00693014" w:rsidRDefault="00693014" w:rsidP="00693014">
      <w:pPr>
        <w:rPr>
          <w:lang w:val="en-US"/>
        </w:rPr>
      </w:pPr>
      <w:r>
        <w:rPr>
          <w:lang w:val="en-US"/>
        </w:rPr>
        <w:t>Correspondence between previous and new zoning is reported in the table below.</w:t>
      </w:r>
    </w:p>
    <w:p w:rsidR="00693014" w:rsidRDefault="00693014" w:rsidP="00693014">
      <w:pPr>
        <w:pStyle w:val="Didascalia"/>
        <w:rPr>
          <w:lang w:val="en-US"/>
        </w:rPr>
      </w:pPr>
      <w:r w:rsidRPr="00693014">
        <w:rPr>
          <w:lang w:val="en-US"/>
        </w:rPr>
        <w:t xml:space="preserve">Table </w:t>
      </w:r>
      <w:r>
        <w:fldChar w:fldCharType="begin"/>
      </w:r>
      <w:r w:rsidRPr="00693014">
        <w:rPr>
          <w:lang w:val="en-US"/>
        </w:rPr>
        <w:instrText xml:space="preserve"> SEQ Table \* ARABIC </w:instrText>
      </w:r>
      <w:r>
        <w:fldChar w:fldCharType="separate"/>
      </w:r>
      <w:r w:rsidRPr="00693014">
        <w:rPr>
          <w:noProof/>
          <w:lang w:val="en-US"/>
        </w:rPr>
        <w:t>1</w:t>
      </w:r>
      <w:r>
        <w:fldChar w:fldCharType="end"/>
      </w:r>
      <w:r>
        <w:rPr>
          <w:lang w:val="en-US"/>
        </w:rPr>
        <w:t>: C</w:t>
      </w:r>
      <w:r w:rsidRPr="00693014">
        <w:rPr>
          <w:lang w:val="en-US"/>
        </w:rPr>
        <w:t>orrespondence bet</w:t>
      </w:r>
      <w:r>
        <w:rPr>
          <w:lang w:val="en-US"/>
        </w:rPr>
        <w:t>ween previous and actual zoning.</w:t>
      </w:r>
    </w:p>
    <w:tbl>
      <w:tblPr>
        <w:tblW w:w="7083" w:type="dxa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26"/>
        <w:gridCol w:w="3157"/>
      </w:tblGrid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/>
          </w:tcPr>
          <w:p w:rsidR="00693014" w:rsidRPr="00CF71C7" w:rsidRDefault="00693014" w:rsidP="0069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>
              <w:rPr>
                <w:rFonts w:cs="Calibri"/>
                <w:color w:val="000000"/>
                <w:lang w:eastAsia="it-IT"/>
              </w:rPr>
              <w:t>Zone Code in form2 of 2011 Questionnaire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BD4B4"/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>
              <w:rPr>
                <w:rFonts w:cs="Calibri"/>
                <w:color w:val="000000"/>
                <w:lang w:eastAsia="it-IT"/>
              </w:rPr>
              <w:t>Zone Code in form2 of 2011 Questionnaire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IT0800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IT0801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IT0802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IT0820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IT0821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IT0822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IT0823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IT0830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IT0831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IT0832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IT0833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IT08102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IT0840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lastRenderedPageBreak/>
              <w:t>IT0841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IT0842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IT08100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IT0843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IT0850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IT0851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IT0852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IT0860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IT0861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IT0862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IT0863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IT0870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IT0871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IT0872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IT0880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IT0881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IT08101</w:t>
            </w:r>
          </w:p>
        </w:tc>
      </w:tr>
      <w:tr w:rsidR="00693014" w:rsidRPr="00CF71C7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IT0882</w:t>
            </w:r>
          </w:p>
        </w:tc>
        <w:tc>
          <w:tcPr>
            <w:tcW w:w="3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14" w:rsidRPr="00CF71C7" w:rsidRDefault="00693014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CF71C7">
              <w:rPr>
                <w:rFonts w:cs="Calibri"/>
                <w:color w:val="000000"/>
                <w:lang w:eastAsia="it-IT"/>
              </w:rPr>
              <w:t>IT08103</w:t>
            </w:r>
          </w:p>
        </w:tc>
      </w:tr>
    </w:tbl>
    <w:p w:rsidR="00693014" w:rsidRDefault="00693014" w:rsidP="00A01496">
      <w:pPr>
        <w:jc w:val="both"/>
        <w:rPr>
          <w:lang w:val="en-US"/>
        </w:rPr>
      </w:pPr>
    </w:p>
    <w:p w:rsidR="00060320" w:rsidRDefault="00060320" w:rsidP="00693014">
      <w:pPr>
        <w:rPr>
          <w:lang w:val="en-US"/>
        </w:rPr>
      </w:pPr>
      <w:r>
        <w:rPr>
          <w:lang w:val="en-US"/>
        </w:rPr>
        <w:t>In 2012 some measuring stations</w:t>
      </w:r>
      <w:r w:rsidR="00EE150E">
        <w:rPr>
          <w:lang w:val="en-US"/>
        </w:rPr>
        <w:t>,</w:t>
      </w:r>
      <w:r>
        <w:rPr>
          <w:lang w:val="en-US"/>
        </w:rPr>
        <w:t xml:space="preserve"> belonging to subzones with NO2 extension granted</w:t>
      </w:r>
      <w:r w:rsidR="00EE150E">
        <w:rPr>
          <w:lang w:val="en-US"/>
        </w:rPr>
        <w:t>,</w:t>
      </w:r>
      <w:r>
        <w:rPr>
          <w:lang w:val="en-US"/>
        </w:rPr>
        <w:t xml:space="preserve"> exceeded the annual mean NO2 LV defined for human health</w:t>
      </w:r>
      <w:r w:rsidR="00EE150E">
        <w:rPr>
          <w:lang w:val="en-US"/>
        </w:rPr>
        <w:t>,</w:t>
      </w:r>
      <w:r>
        <w:rPr>
          <w:lang w:val="en-US"/>
        </w:rPr>
        <w:t xml:space="preserve"> but </w:t>
      </w:r>
      <w:r w:rsidR="00EE150E">
        <w:rPr>
          <w:lang w:val="en-US"/>
        </w:rPr>
        <w:t>did not exceed LV plus the maximum MOT.</w:t>
      </w:r>
    </w:p>
    <w:tbl>
      <w:tblPr>
        <w:tblW w:w="7250" w:type="dxa"/>
        <w:jc w:val="center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94"/>
        <w:gridCol w:w="2465"/>
        <w:gridCol w:w="2191"/>
      </w:tblGrid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305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9F7C6E"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  <w:t>Zone code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F7C6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it-IT"/>
              </w:rPr>
              <w:t>EoI station code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CC99" w:fill="auto"/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</w:pPr>
            <w:r w:rsidRPr="009F7C6E"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  <w:t>Level (</w:t>
            </w:r>
            <w:r w:rsidRPr="009F7C6E">
              <w:rPr>
                <w:rFonts w:ascii="Symbol" w:hAnsi="Symbol" w:cs="Symbol"/>
                <w:color w:val="000000"/>
                <w:sz w:val="20"/>
                <w:szCs w:val="20"/>
                <w:lang w:eastAsia="it-IT"/>
              </w:rPr>
              <w:t></w:t>
            </w:r>
            <w:r w:rsidRPr="009F7C6E"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  <w:t>g/m</w:t>
            </w:r>
            <w:r w:rsidRPr="009F7C6E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  <w:lang w:eastAsia="it-IT"/>
              </w:rPr>
              <w:t>3</w:t>
            </w:r>
            <w:r w:rsidRPr="009F7C6E">
              <w:rPr>
                <w:rFonts w:ascii="Times New Roman" w:hAnsi="Times New Roman"/>
                <w:color w:val="000000"/>
                <w:sz w:val="20"/>
                <w:szCs w:val="20"/>
                <w:lang w:eastAsia="it-IT"/>
              </w:rPr>
              <w:t>)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IT08102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IT1923A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43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IT08102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IT1105A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45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IT08102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IT0702A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43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IT08102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IT1920A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51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IT08103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IT0187A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47</w:t>
            </w:r>
          </w:p>
        </w:tc>
      </w:tr>
      <w:tr w:rsidR="00EE150E" w:rsidRPr="009F7C6E" w:rsidTr="00A049DB">
        <w:tblPrEx>
          <w:tblCellMar>
            <w:top w:w="0" w:type="dxa"/>
            <w:bottom w:w="0" w:type="dxa"/>
          </w:tblCellMar>
        </w:tblPrEx>
        <w:trPr>
          <w:trHeight w:val="290"/>
          <w:jc w:val="center"/>
        </w:trPr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IT08103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IT1044A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50E" w:rsidRPr="009F7C6E" w:rsidRDefault="00EE150E" w:rsidP="00A04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color w:val="000000"/>
                <w:lang w:eastAsia="it-IT"/>
              </w:rPr>
            </w:pPr>
            <w:r w:rsidRPr="009F7C6E">
              <w:rPr>
                <w:rFonts w:cs="Calibri"/>
                <w:color w:val="000000"/>
                <w:lang w:eastAsia="it-IT"/>
              </w:rPr>
              <w:t>41</w:t>
            </w:r>
          </w:p>
        </w:tc>
      </w:tr>
    </w:tbl>
    <w:p w:rsidR="00EE150E" w:rsidRDefault="00EE150E" w:rsidP="00A01496">
      <w:pPr>
        <w:jc w:val="both"/>
        <w:rPr>
          <w:lang w:val="en-US"/>
        </w:rPr>
      </w:pPr>
    </w:p>
    <w:p w:rsidR="00EE150E" w:rsidRDefault="00A01496" w:rsidP="00A01496">
      <w:pPr>
        <w:jc w:val="both"/>
        <w:rPr>
          <w:lang w:val="en-US"/>
        </w:rPr>
      </w:pPr>
      <w:r>
        <w:rPr>
          <w:lang w:val="en-US"/>
        </w:rPr>
        <w:t xml:space="preserve">Concerning the filling of form 2, in relation to the application of art. 22, </w:t>
      </w:r>
      <w:r w:rsidR="000A6BD4">
        <w:rPr>
          <w:lang w:val="en-US"/>
        </w:rPr>
        <w:t>the form</w:t>
      </w:r>
      <w:r>
        <w:rPr>
          <w:lang w:val="en-US"/>
        </w:rPr>
        <w:t xml:space="preserve"> doesn’t include the pollutant code NO2 for zones IT08102 and IT08103 </w:t>
      </w:r>
      <w:r w:rsidR="000A6BD4">
        <w:rPr>
          <w:lang w:val="en-US"/>
        </w:rPr>
        <w:t>because the extension was granted only for subzones of these two zones.</w:t>
      </w:r>
    </w:p>
    <w:p w:rsidR="000A6BD4" w:rsidRDefault="000A6BD4" w:rsidP="00A01496">
      <w:pPr>
        <w:jc w:val="both"/>
        <w:rPr>
          <w:lang w:val="en-US"/>
        </w:rPr>
      </w:pPr>
      <w:r>
        <w:rPr>
          <w:lang w:val="en-US"/>
        </w:rPr>
        <w:t>Concerning the filling of form 8b, since the extension</w:t>
      </w:r>
      <w:r w:rsidRPr="000A6BD4">
        <w:rPr>
          <w:lang w:val="en-US"/>
        </w:rPr>
        <w:t xml:space="preserve"> </w:t>
      </w:r>
      <w:r>
        <w:rPr>
          <w:lang w:val="en-US"/>
        </w:rPr>
        <w:t>to the compliance with air quality limit value</w:t>
      </w:r>
      <w:r w:rsidR="008B037E">
        <w:rPr>
          <w:lang w:val="en-US"/>
        </w:rPr>
        <w:t xml:space="preserve"> regarded subzones of the actual zoning,</w:t>
      </w:r>
      <w:r>
        <w:rPr>
          <w:lang w:val="en-US"/>
        </w:rPr>
        <w:t xml:space="preserve"> </w:t>
      </w:r>
      <w:r w:rsidR="008B037E">
        <w:rPr>
          <w:lang w:val="en-US"/>
        </w:rPr>
        <w:t xml:space="preserve">for zone IT08103 Y was used </w:t>
      </w:r>
      <w:r>
        <w:rPr>
          <w:lang w:val="en-US"/>
        </w:rPr>
        <w:t>instead of F</w:t>
      </w:r>
      <w:r w:rsidR="008B037E">
        <w:rPr>
          <w:lang w:val="en-US"/>
        </w:rPr>
        <w:t xml:space="preserve"> to fill in the form, where the annual mean values related to health are between LV and LV+maximum MOT.</w:t>
      </w:r>
    </w:p>
    <w:p w:rsidR="00F44D72" w:rsidRPr="00693014" w:rsidRDefault="00F44D72" w:rsidP="00A01496">
      <w:pPr>
        <w:jc w:val="both"/>
        <w:rPr>
          <w:lang w:val="en-US"/>
        </w:rPr>
      </w:pPr>
      <w:r>
        <w:rPr>
          <w:lang w:val="en-US"/>
        </w:rPr>
        <w:t xml:space="preserve">Concerning the filling of form 11f only the exceedance values of </w:t>
      </w:r>
      <w:r w:rsidR="00A049DB">
        <w:rPr>
          <w:lang w:val="en-US"/>
        </w:rPr>
        <w:t xml:space="preserve">measuring </w:t>
      </w:r>
      <w:r>
        <w:rPr>
          <w:lang w:val="en-US"/>
        </w:rPr>
        <w:t>stations that belong to zones for which the EC refused the request are reported.</w:t>
      </w:r>
    </w:p>
    <w:sectPr w:rsidR="00F44D72" w:rsidRPr="00693014" w:rsidSect="005C3A7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FC7360"/>
    <w:rsid w:val="000437D9"/>
    <w:rsid w:val="00052681"/>
    <w:rsid w:val="00060320"/>
    <w:rsid w:val="00081DA5"/>
    <w:rsid w:val="000A6BD4"/>
    <w:rsid w:val="00132C9F"/>
    <w:rsid w:val="001840C3"/>
    <w:rsid w:val="00224205"/>
    <w:rsid w:val="0024147C"/>
    <w:rsid w:val="002D057E"/>
    <w:rsid w:val="00346355"/>
    <w:rsid w:val="00372E8A"/>
    <w:rsid w:val="005C3A76"/>
    <w:rsid w:val="005E7154"/>
    <w:rsid w:val="006507FE"/>
    <w:rsid w:val="00687DAA"/>
    <w:rsid w:val="00693014"/>
    <w:rsid w:val="00787F9D"/>
    <w:rsid w:val="008B037E"/>
    <w:rsid w:val="008B0A13"/>
    <w:rsid w:val="00A01496"/>
    <w:rsid w:val="00A049DB"/>
    <w:rsid w:val="00A10EAF"/>
    <w:rsid w:val="00BC47A0"/>
    <w:rsid w:val="00BD240B"/>
    <w:rsid w:val="00D231FF"/>
    <w:rsid w:val="00DF1A1F"/>
    <w:rsid w:val="00EE150E"/>
    <w:rsid w:val="00F44D72"/>
    <w:rsid w:val="00FC7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3A7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ps">
    <w:name w:val="hps"/>
    <w:basedOn w:val="Carpredefinitoparagrafo"/>
    <w:rsid w:val="00BC47A0"/>
  </w:style>
  <w:style w:type="paragraph" w:styleId="Didascalia">
    <w:name w:val="caption"/>
    <w:basedOn w:val="Normale"/>
    <w:next w:val="Normale"/>
    <w:uiPriority w:val="35"/>
    <w:unhideWhenUsed/>
    <w:qFormat/>
    <w:rsid w:val="00BD240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5FD9FCB853134F9A10BBAA59A44827" ma:contentTypeVersion="0" ma:contentTypeDescription="Creare un nuovo documento." ma:contentTypeScope="" ma:versionID="aefa2a89f0df74a998fd0121d0109bb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45ED8-32CC-47C0-BFC5-2E657765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0F6DC-E175-4456-8D6E-BF88566D8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EBF402-C3B1-4F1A-9DC6-78BB198355E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CBD5679-33F9-4221-8CA9-FC94DCD88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Maccaferri</dc:creator>
  <cp:lastModifiedBy>gugliottagrm</cp:lastModifiedBy>
  <cp:revision>2</cp:revision>
  <dcterms:created xsi:type="dcterms:W3CDTF">2013-07-29T10:03:00Z</dcterms:created>
  <dcterms:modified xsi:type="dcterms:W3CDTF">2013-07-29T10:03:00Z</dcterms:modified>
</cp:coreProperties>
</file>